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D3FEEF" w14:textId="77777777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F7B83">
        <w:rPr>
          <w:rFonts w:ascii="Times New Roman" w:hAnsi="Times New Roman" w:cs="Times New Roman"/>
          <w:sz w:val="24"/>
          <w:szCs w:val="24"/>
        </w:rPr>
        <w:t>Sylwester Wolak</w:t>
      </w:r>
    </w:p>
    <w:p w14:paraId="430A5664" w14:textId="77777777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</w:p>
    <w:p w14:paraId="3323202A" w14:textId="60E818C0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  <w:r w:rsidRPr="000F7B83">
        <w:rPr>
          <w:rFonts w:ascii="Times New Roman" w:hAnsi="Times New Roman" w:cs="Times New Roman"/>
          <w:sz w:val="24"/>
          <w:szCs w:val="24"/>
        </w:rPr>
        <w:t>STRESZCZENIE PRACY</w:t>
      </w:r>
    </w:p>
    <w:p w14:paraId="0A470FF7" w14:textId="1F6AC8E3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  <w:r w:rsidRPr="000F7B83">
        <w:rPr>
          <w:rFonts w:ascii="Times New Roman" w:hAnsi="Times New Roman" w:cs="Times New Roman"/>
          <w:sz w:val="24"/>
          <w:szCs w:val="24"/>
        </w:rPr>
        <w:t>pt. Polityka energetyczna Polski wobec wyzwań rynkowych po 1989 roku</w:t>
      </w:r>
    </w:p>
    <w:p w14:paraId="6595AB52" w14:textId="77777777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</w:p>
    <w:p w14:paraId="39DA4E3E" w14:textId="5FA5CB2D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  <w:r w:rsidRPr="000F7B83">
        <w:rPr>
          <w:rFonts w:ascii="Times New Roman" w:hAnsi="Times New Roman" w:cs="Times New Roman"/>
          <w:sz w:val="24"/>
          <w:szCs w:val="24"/>
        </w:rPr>
        <w:t>Celem pracy była analiza polskiej polityki energetycznej po roku 1989 i badanie wpływu uwarunkowań zewnętrznych na jej kształt w Polsce. Siłą rzeczy najbardziej zauważalny i interesujący był wpływ prawodawstwa Unii Europejskiej  na wewnętrzną politykę energetyczno-środowiskową tak w zakresie przepisów regulujących wytwarzanie energii, jak również tych narzucających konieczność ochrony środowiska w procesach wytwarzania, dystrybucji i konsumpcji energii i nośników energetycznych. Równie ciekawy wydaje się być wpływ uregulowań unijnych na likwidację monopoli i tworzenie w Polsce wolnego rynku energii elektrycznej i gazu ziemnego, a także innych – mniej specyficznych -  rynków nośników energii, których uwolnienie nie wymagało dużej interwencji państwa, a funkcje regulacyjne doskonale spełniały mechanizmy wolnorynkowe, które po r. 1989 zastąpiły niewydolne centralne sterowanie.</w:t>
      </w:r>
    </w:p>
    <w:p w14:paraId="06F8781E" w14:textId="77777777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  <w:r w:rsidRPr="000F7B83">
        <w:rPr>
          <w:rFonts w:ascii="Times New Roman" w:hAnsi="Times New Roman" w:cs="Times New Roman"/>
          <w:sz w:val="24"/>
          <w:szCs w:val="24"/>
        </w:rPr>
        <w:t xml:space="preserve">Wpływ polityki energetyczno-klimatycznej Unii Europejskiej na sektor energetyczny (nie tylko wytwórczy i wydobywczy) Polski nawet jeszcze w okresie przedakcesyjnym był główną hipotezą badawczą pracy. Uzupełniły ją cztery hipotezy pomocnicze: </w:t>
      </w:r>
    </w:p>
    <w:p w14:paraId="0524D757" w14:textId="77777777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  <w:r w:rsidRPr="000F7B83">
        <w:rPr>
          <w:rFonts w:ascii="Times New Roman" w:hAnsi="Times New Roman" w:cs="Times New Roman"/>
          <w:sz w:val="24"/>
          <w:szCs w:val="24"/>
        </w:rPr>
        <w:t>1. polityka energetyczna Polski jest warunkowana zmianami w polityce klimatyczno-energetycznej Unii Europejskiej.</w:t>
      </w:r>
    </w:p>
    <w:p w14:paraId="7165E02C" w14:textId="77777777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  <w:r w:rsidRPr="000F7B83">
        <w:rPr>
          <w:rFonts w:ascii="Times New Roman" w:hAnsi="Times New Roman" w:cs="Times New Roman"/>
          <w:sz w:val="24"/>
          <w:szCs w:val="24"/>
        </w:rPr>
        <w:t xml:space="preserve">2.  instrumenty finansowe Unii Europejskiej (środki w okresie przedakcesyjnym, Polityka Spójności, Programy Operacyjne: Infrastruktura i Środowisko, Kapitał Ludzki) wpłynęły na stopień modernizacji energetyki w Polsce. </w:t>
      </w:r>
    </w:p>
    <w:p w14:paraId="6C55E155" w14:textId="77777777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  <w:r w:rsidRPr="000F7B83">
        <w:rPr>
          <w:rFonts w:ascii="Times New Roman" w:hAnsi="Times New Roman" w:cs="Times New Roman"/>
          <w:sz w:val="24"/>
          <w:szCs w:val="24"/>
        </w:rPr>
        <w:t xml:space="preserve">3. wobec braku rozwiązań systemowych, efekty polityki klimatyczno-energetycznej UE są niewystarczające. </w:t>
      </w:r>
    </w:p>
    <w:p w14:paraId="35B262B4" w14:textId="77777777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  <w:r w:rsidRPr="000F7B83">
        <w:rPr>
          <w:rFonts w:ascii="Times New Roman" w:hAnsi="Times New Roman" w:cs="Times New Roman"/>
          <w:sz w:val="24"/>
          <w:szCs w:val="24"/>
        </w:rPr>
        <w:t>4. obecne wymogi rynkowe wiążą się nie tylko z potrzebą uzyskiwania niezawodnych dostaw energii (i surowców) w akceptowalnej cenie, ale również sprostania potrzebom/wyzwaniom środowiskowym.</w:t>
      </w:r>
    </w:p>
    <w:p w14:paraId="178171BA" w14:textId="77777777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</w:p>
    <w:p w14:paraId="5BF4BA58" w14:textId="77777777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  <w:r w:rsidRPr="000F7B83">
        <w:rPr>
          <w:rFonts w:ascii="Times New Roman" w:hAnsi="Times New Roman" w:cs="Times New Roman"/>
          <w:sz w:val="24"/>
          <w:szCs w:val="24"/>
        </w:rPr>
        <w:t xml:space="preserve">W rozprawie wykorzystano szerokie instrumentarium badawcze. Podstawę stanowiła krytyczna analiza literatury i źródeł (głównie przepisów prawa stanowionego RP dostępnych w bazie danych pt. Internetowy System Aktów Prawnych Sejmu RP, wypowiedzi osób odpowiedzialnych za kreowanie polityki energetycznej państwa). </w:t>
      </w:r>
    </w:p>
    <w:p w14:paraId="569DB0A3" w14:textId="77777777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  <w:r w:rsidRPr="000F7B83">
        <w:rPr>
          <w:rFonts w:ascii="Times New Roman" w:hAnsi="Times New Roman" w:cs="Times New Roman"/>
          <w:sz w:val="24"/>
          <w:szCs w:val="24"/>
        </w:rPr>
        <w:t>Analiza systemowa pozwoliła z kolei  na określenie przewidywanych następstw działań rządzących w poszczególnych okresach.</w:t>
      </w:r>
    </w:p>
    <w:p w14:paraId="7A8E41EA" w14:textId="77777777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  <w:r w:rsidRPr="000F7B83">
        <w:rPr>
          <w:rFonts w:ascii="Times New Roman" w:hAnsi="Times New Roman" w:cs="Times New Roman"/>
          <w:sz w:val="24"/>
          <w:szCs w:val="24"/>
        </w:rPr>
        <w:t>Analizę instytucjonalno-prawną wykorzystano do szczegółowego przedstawienia aktów normatywnych tworzonych przez instytucje prawne, jak również do zbadania działania instytucji politycznych.</w:t>
      </w:r>
    </w:p>
    <w:p w14:paraId="3E83B302" w14:textId="77777777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  <w:r w:rsidRPr="000F7B83">
        <w:rPr>
          <w:rFonts w:ascii="Times New Roman" w:hAnsi="Times New Roman" w:cs="Times New Roman"/>
          <w:sz w:val="24"/>
          <w:szCs w:val="24"/>
        </w:rPr>
        <w:lastRenderedPageBreak/>
        <w:t xml:space="preserve">Z kolei analiza historyczna pozwoliła na przedstawienie w ujęciu </w:t>
      </w:r>
      <w:proofErr w:type="spellStart"/>
      <w:r w:rsidRPr="000F7B83">
        <w:rPr>
          <w:rFonts w:ascii="Times New Roman" w:hAnsi="Times New Roman" w:cs="Times New Roman"/>
          <w:sz w:val="24"/>
          <w:szCs w:val="24"/>
        </w:rPr>
        <w:t>przyczynowo-skutkowym</w:t>
      </w:r>
      <w:proofErr w:type="spellEnd"/>
      <w:r w:rsidRPr="000F7B83">
        <w:rPr>
          <w:rFonts w:ascii="Times New Roman" w:hAnsi="Times New Roman" w:cs="Times New Roman"/>
          <w:sz w:val="24"/>
          <w:szCs w:val="24"/>
        </w:rPr>
        <w:t xml:space="preserve"> zmian, jakie nastąpiły w konsekwencji zmian aktów prawnych kreujących politykę energetyczną. </w:t>
      </w:r>
    </w:p>
    <w:p w14:paraId="5D771716" w14:textId="77777777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  <w:r w:rsidRPr="000F7B83">
        <w:rPr>
          <w:rFonts w:ascii="Times New Roman" w:hAnsi="Times New Roman" w:cs="Times New Roman"/>
          <w:sz w:val="24"/>
          <w:szCs w:val="24"/>
        </w:rPr>
        <w:t>Do określenia kierunków rozwoju sektora energetycznego w Polsce na podstawie doświadczeń innych państw europejskich wykorzystano w rozprawie metodę ekstrapolacji.</w:t>
      </w:r>
    </w:p>
    <w:p w14:paraId="3CBD8C25" w14:textId="77777777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  <w:r w:rsidRPr="000F7B83">
        <w:rPr>
          <w:rFonts w:ascii="Times New Roman" w:hAnsi="Times New Roman" w:cs="Times New Roman"/>
          <w:sz w:val="24"/>
          <w:szCs w:val="24"/>
        </w:rPr>
        <w:t>Badania potwierdziły prawidłowość postawionych hipotez badawczych. Mimo zróżnicowanego podejścia do Unii Europejskiej poszczególnych ekip rządzących, prawa dotyczące sektora energetycznego, stanowione w Brukseli znajdują odzwierciedlenie w krajowym porządku prawnym. Niekiedy implementacja poszczególnych przepisów unijnych do prawa polskiego odbywała się – trawestując słowa byłego prezydenta – na zasadzie „nie chcę, ale muszę”, żeby wspomnieć choćby o przepisach uwalniających rynek energii elektrycznej czy gazu ziemnego, albo tych, zmierzających do ograniczenia emisji do atmosfery pyłów, dwutlenku węgla i związków azotu.</w:t>
      </w:r>
    </w:p>
    <w:p w14:paraId="4EB64986" w14:textId="77777777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  <w:r w:rsidRPr="000F7B83">
        <w:rPr>
          <w:rFonts w:ascii="Times New Roman" w:hAnsi="Times New Roman" w:cs="Times New Roman"/>
          <w:sz w:val="24"/>
          <w:szCs w:val="24"/>
        </w:rPr>
        <w:t>Tymczasem – warto to z perspektywy czasu docenić - uregulowania Unii Europejskiej dotyczące konieczności dywersyfikacji dostaw nośników energii, zwiększania pojemności baz magazynowych dla gromadzenia zapasów obowiązkowych ropy naftowej czy gazu ziemnego, też dość opornie wprowadzane w Polsce na przestrzeni lat (od okresu przedakcesyjnego – do dziś), ale w końcu wprowadzone w życie okazały się zbawienne po inwazji Federacji Rosyjskiej na Ukrainę, gdy polskie magazyny gazu czy ropy były w dużej mierze zapełnione i – w odróżnieniu od innych państw Europy Zachodniej – Polakom nie groziło odcięcie dostaw paliwa.</w:t>
      </w:r>
    </w:p>
    <w:p w14:paraId="422F6A9A" w14:textId="77777777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  <w:r w:rsidRPr="000F7B83">
        <w:rPr>
          <w:rFonts w:ascii="Times New Roman" w:hAnsi="Times New Roman" w:cs="Times New Roman"/>
          <w:sz w:val="24"/>
          <w:szCs w:val="24"/>
        </w:rPr>
        <w:t>O tym, że ta polityka Unii Europejskiej była trafiona, i że bez niej pewnie nie poradzilibyśmy sobie jako państwo tak dobrze może świadczyć sytuacja w branży górnictwa węglowego. Skoro węgiel, jako paliwo, był przez Brukselę traktowany jako swego rodzaju formacja schyłkowa i główne decyzje Unii Europejskiej zmierzały do rezygnacji państw członkowskich z węgla jako paliwa, sektor ten był mniej regulowany i państwa członkowskie (w tym Polska) radziły (a raczej nie radziły) sobie głównie we własnym zakresie.</w:t>
      </w:r>
    </w:p>
    <w:p w14:paraId="30197661" w14:textId="77777777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  <w:r w:rsidRPr="000F7B83">
        <w:rPr>
          <w:rFonts w:ascii="Times New Roman" w:hAnsi="Times New Roman" w:cs="Times New Roman"/>
          <w:sz w:val="24"/>
          <w:szCs w:val="24"/>
        </w:rPr>
        <w:t>Jak się to „radzenie sobie” skończyło, przekonaliśmy się wiosną 2022 roku, po zaprzestaniu importu węgla z Rosji, gdy momentalnie na składach paliw stałych zabrakło węgla, jego cena za tonę poszybowała do 3000 zł, administracja państwowa zaczęła się niezbyt skutecznie zajmować sprowadzaniem również bardzo złej jakości węgla z najbardziej egzotycznych kierunków globu, w tym np. z Kazachstanu, z którego sprowadzano do Polski węgiel… transportem ciężarówkowym (ponad 4000 km w jedną stronę!!!).</w:t>
      </w:r>
    </w:p>
    <w:p w14:paraId="5BDF384F" w14:textId="77777777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  <w:r w:rsidRPr="000F7B83">
        <w:rPr>
          <w:rFonts w:ascii="Times New Roman" w:hAnsi="Times New Roman" w:cs="Times New Roman"/>
          <w:sz w:val="24"/>
          <w:szCs w:val="24"/>
        </w:rPr>
        <w:t>Natychmiast zapomniano o haśle Zjednoczonej Prawicy, zgodnie z którym węgiel jest gwarantem naszej suwerenności i mamy go na ponad 200 lat… Jak się okazało, krajowej produkcji zabrakło nawet na pokrycie miesięcznego zapotrzebowania.</w:t>
      </w:r>
    </w:p>
    <w:p w14:paraId="1D801D12" w14:textId="77777777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  <w:r w:rsidRPr="000F7B83">
        <w:rPr>
          <w:rFonts w:ascii="Times New Roman" w:hAnsi="Times New Roman" w:cs="Times New Roman"/>
          <w:sz w:val="24"/>
          <w:szCs w:val="24"/>
        </w:rPr>
        <w:t>Sytuacja w branży węglowej w tym okresie na zasadzie wyjątku potwierdzającego regułę, wyraźnie pokazała, że legislacja Unii Europejskiej, implementowana w państwach członkowskich z pewnością uchroniła je od energetycznej katastrofy w 2022 r.</w:t>
      </w:r>
    </w:p>
    <w:p w14:paraId="56E8045E" w14:textId="77777777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  <w:r w:rsidRPr="000F7B83">
        <w:rPr>
          <w:rFonts w:ascii="Times New Roman" w:hAnsi="Times New Roman" w:cs="Times New Roman"/>
          <w:sz w:val="24"/>
          <w:szCs w:val="24"/>
        </w:rPr>
        <w:t xml:space="preserve">Trzeba też z przekąsem stwierdzić, że źle się stało, że Unia Europejska (której zaczątkiem była organizacja o nazwie Europejska Wspólnota Węgla i Stali) nie regulowała całego sektora energetycznego, odpuszczając węgiel w państwach, w których jeszcze prowadzono </w:t>
      </w:r>
      <w:r w:rsidRPr="000F7B83">
        <w:rPr>
          <w:rFonts w:ascii="Times New Roman" w:hAnsi="Times New Roman" w:cs="Times New Roman"/>
          <w:sz w:val="24"/>
          <w:szCs w:val="24"/>
        </w:rPr>
        <w:lastRenderedPageBreak/>
        <w:t>wydobycie. Gdyby i w tym przypadku nacisk kładziono nie tylko na zaprzestanie wydobycia, ale i na gromadzenie zapasów obowiązkowych paliwa o określonych cechach (to, co leżało na przykopalnianych hałdach w Polsce, a było nazywane węglem, w „godzinie próby” okazało się być kamieniem, a nie paliwem), nie doświadczylibyśmy nagłego ogołocenia składów węgla, trzykrotnej zwyżki jego ceny i obaw o to, czym będą ogrzewać swoje domy najubożsi, którzy jako podstawowego paliwa używają węgla.</w:t>
      </w:r>
    </w:p>
    <w:p w14:paraId="1DFC7945" w14:textId="77777777" w:rsidR="000F7B83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</w:p>
    <w:p w14:paraId="1531DF4B" w14:textId="79C50DDA" w:rsidR="007F4941" w:rsidRPr="000F7B83" w:rsidRDefault="000F7B83" w:rsidP="000F7B83">
      <w:pPr>
        <w:rPr>
          <w:rFonts w:ascii="Times New Roman" w:hAnsi="Times New Roman" w:cs="Times New Roman"/>
          <w:sz w:val="24"/>
          <w:szCs w:val="24"/>
        </w:rPr>
      </w:pPr>
      <w:r w:rsidRPr="000F7B83">
        <w:rPr>
          <w:rFonts w:ascii="Times New Roman" w:hAnsi="Times New Roman" w:cs="Times New Roman"/>
          <w:sz w:val="24"/>
          <w:szCs w:val="24"/>
        </w:rPr>
        <w:t>W tej sytuacji stwierdzenie, że dzięki unijnym przepisom, zaimplementowanym do polskiego systemu prawnego i – na szczęście - wprowadzonym w życie, uniknęliśmy wielkoskalowej katastrofy gospodarczej po wybuchu wojny rosyjsko-ukraińskiej, co zweryfikowało celowość tworzenia tych przepisów w Brukseli i nacisku na ich wprowadzenie w państwach członkowskich, wydaje się być udowodnione i w całości popierać hipotezy badawcze rozprawy.</w:t>
      </w:r>
    </w:p>
    <w:sectPr w:rsidR="007F4941" w:rsidRPr="000F7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B83"/>
    <w:rsid w:val="000F7B83"/>
    <w:rsid w:val="007A71A5"/>
    <w:rsid w:val="007F4941"/>
    <w:rsid w:val="009E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76C60"/>
  <w15:chartTrackingRefBased/>
  <w15:docId w15:val="{568A21C7-B0C7-49A2-B387-BA1C0DCA4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962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Sylwester Wolak</dc:creator>
  <cp:keywords/>
  <dc:description/>
  <cp:lastModifiedBy>Hewlett-Packard Company</cp:lastModifiedBy>
  <cp:revision>2</cp:revision>
  <dcterms:created xsi:type="dcterms:W3CDTF">2023-10-24T11:20:00Z</dcterms:created>
  <dcterms:modified xsi:type="dcterms:W3CDTF">2023-10-24T11:20:00Z</dcterms:modified>
</cp:coreProperties>
</file>